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pStyle w:val="2"/>
        <w:jc w:val="center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</w:rPr>
        <w:t>太原生态工程学校教科研课题</w:t>
      </w:r>
      <w:r>
        <w:rPr>
          <w:rFonts w:hint="eastAsia"/>
          <w:sz w:val="32"/>
          <w:szCs w:val="32"/>
          <w:lang w:val="en-US" w:eastAsia="zh-CN"/>
        </w:rPr>
        <w:t>选题范围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课题负责人可根据以下提供的研究方向，结合教育教学改革实际和自己的研究专长及团队实力，自主确定具体的研究课题。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1.综合研究类</w:t>
      </w:r>
      <w:bookmarkStart w:id="0" w:name="_GoBack"/>
      <w:bookmarkEnd w:id="0"/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包括涉农中职学校办学模式、办学特色、发展方向、激励机制、体制创新等方面的理论与实践研究等。</w:t>
      </w:r>
    </w:p>
    <w:p>
      <w:pPr>
        <w:widowControl/>
        <w:tabs>
          <w:tab w:val="left" w:pos="2160"/>
        </w:tabs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2.思想政治工作类</w:t>
      </w:r>
    </w:p>
    <w:p>
      <w:pPr>
        <w:widowControl/>
        <w:tabs>
          <w:tab w:val="left" w:pos="2160"/>
        </w:tabs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包括涉农中职学校教职工和学生的思想教育工作、管理队伍建设、德育工作创新、培育和践行社会主义核心价值观的理论与实践研究等。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3.师资队伍建设类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包括涉农中职学校教学名师、专业带头人、骨干教师、“双师型”教师以及优秀教学团队的选拔、培养、建设、管理途径和规律等研究。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4.课程改革类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课程改革与教学模式的研究，中高职衔接课程改革模式与绩效评价研究，精品课程建设研究，微课开发与应用研究，慕课开发与应用研究，职业技能训练与竞赛以及技能鉴定等方面理论与实践研究等。</w:t>
      </w:r>
    </w:p>
    <w:p>
      <w:pPr>
        <w:widowControl/>
        <w:tabs>
          <w:tab w:val="left" w:pos="4320"/>
        </w:tabs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5.教育技术类</w:t>
      </w:r>
    </w:p>
    <w:p>
      <w:pPr>
        <w:widowControl/>
        <w:tabs>
          <w:tab w:val="left" w:pos="4320"/>
        </w:tabs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包括涉农中职学校教育技术与课程改革的整合研究，信息化教学资源的开发与应用研究，“数字化校园”建设与学校现代化发展研究，提高教师教育技术能力以及促进教师专业化发展研究等。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6.人才培养模式与专业建设类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 xml:space="preserve">包括涉农中职、中高职衔接人才培养模式的研究，校企合作体制机制创新研究，品牌特色专业建设研究，专业开发与拓展的产业契合度研究，基于学生核心素养培养的课程体系研究，学生技能实训与顶岗实习研究，学生学业水平测试实施对策研究等。 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7.教学管理类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包括涉农中职学校管理特点及规律研究，学风教风建设研究，教学管理体制改革研究，教育教学信息化建设研究，教育教学督导研究，教学质量评价及监控研究等。</w:t>
      </w:r>
    </w:p>
    <w:p>
      <w:pPr>
        <w:widowControl/>
        <w:tabs>
          <w:tab w:val="left" w:pos="4320"/>
        </w:tabs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8.科技培训与实训基地建设类</w:t>
      </w:r>
    </w:p>
    <w:p>
      <w:pPr>
        <w:widowControl/>
        <w:tabs>
          <w:tab w:val="left" w:pos="4320"/>
        </w:tabs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包括科技培训与涉农中职学校实训基地建设模式研究，生产经营性实训基地功能与效益研究，校企共建共享实训基地研究，公共实训基地建设的研究等。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9.学生管理类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包括涉农中职学校学生特点及管理规律研究，学生准军事化管理研究、学生社团建设研究，学生就业创业研究，校园突发事件预警及治理研究，后进生转化规律研究等。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10.校园文化建设类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包括涉农中职学校校园物质文化、制度文化、精神文化研究，专业文化、班级文化、寝室文化研究以及校企文化融合研究等。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11.后勤服务类</w:t>
      </w:r>
    </w:p>
    <w:p>
      <w:pPr>
        <w:widowControl/>
        <w:spacing w:line="360" w:lineRule="atLeast"/>
        <w:ind w:firstLine="480"/>
        <w:jc w:val="left"/>
        <w:rPr>
          <w:rFonts w:ascii="仿宋_GB2312" w:hAnsi="Arial" w:eastAsia="仿宋_GB2312" w:cs="仿宋_GB2312"/>
          <w:sz w:val="28"/>
          <w:szCs w:val="28"/>
        </w:rPr>
      </w:pPr>
      <w:r>
        <w:rPr>
          <w:rFonts w:hint="eastAsia" w:ascii="仿宋_GB2312" w:hAnsi="Arial" w:eastAsia="仿宋_GB2312" w:cs="仿宋_GB2312"/>
          <w:sz w:val="28"/>
          <w:szCs w:val="28"/>
        </w:rPr>
        <w:t>包括涉农中职学校后勤社会化改革研究，工勤人员绩效考核与评价研究，平安校园建设研究，低碳校园建设研究，资产运营与管理研究等。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F37FC"/>
    <w:rsid w:val="1F5F37FC"/>
    <w:rsid w:val="495D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tabs>
        <w:tab w:val="right" w:leader="dot" w:pos="8040"/>
      </w:tabs>
      <w:spacing w:before="120" w:after="120"/>
      <w:outlineLvl w:val="0"/>
    </w:pPr>
    <w:rPr>
      <w:b/>
      <w:bCs/>
      <w:cap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2017-09-08T03:36:00Z</dcterms:created>
  <dc:creator>leve</dc:creator>
  <cp:lastModifiedBy>leve</cp:lastModifiedBy>
  <dcterms:modified xsi:type="dcterms:W3CDTF">2017-09-08T04:27:07Z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